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31D0AE32"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w:t>
      </w:r>
      <w:r w:rsidR="005102C2">
        <w:rPr>
          <w:rFonts w:ascii="Arial" w:hAnsi="Arial" w:cs="Arial"/>
          <w:b/>
          <w:sz w:val="24"/>
          <w:szCs w:val="24"/>
          <w:lang w:val="en-US" w:eastAsia="zh-CN"/>
        </w:rPr>
        <w:t>2</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bookmarkStart w:id="2" w:name="OLE_LINK2"/>
      <w:bookmarkStart w:id="3" w:name="OLE_LINK7"/>
      <w:bookmarkStart w:id="4" w:name="_GoBack"/>
      <w:r w:rsidR="00361F1A" w:rsidRPr="00361F1A">
        <w:rPr>
          <w:rFonts w:ascii="Arial" w:eastAsia="MS Mincho" w:hAnsi="Arial" w:cs="Arial"/>
          <w:b/>
          <w:sz w:val="24"/>
          <w:szCs w:val="24"/>
          <w:lang w:val="en-US"/>
        </w:rPr>
        <w:t>R4-1908876</w:t>
      </w:r>
      <w:bookmarkEnd w:id="2"/>
      <w:bookmarkEnd w:id="3"/>
      <w:bookmarkEnd w:id="4"/>
    </w:p>
    <w:p w14:paraId="47564B62" w14:textId="5FC1AF79" w:rsidR="00467C51" w:rsidRDefault="00654F24" w:rsidP="00126362">
      <w:pPr>
        <w:pStyle w:val="CRCoverPage"/>
        <w:spacing w:afterLines="50"/>
        <w:rPr>
          <w:rFonts w:eastAsia="宋体"/>
          <w:b/>
          <w:sz w:val="24"/>
          <w:szCs w:val="24"/>
          <w:lang w:val="en-US" w:eastAsia="zh-CN"/>
        </w:rPr>
      </w:pPr>
      <w:r w:rsidRPr="00654F24">
        <w:rPr>
          <w:rFonts w:eastAsia="宋体"/>
          <w:b/>
          <w:sz w:val="24"/>
          <w:szCs w:val="24"/>
          <w:lang w:val="en-US" w:eastAsia="zh-CN"/>
        </w:rPr>
        <w:t>Ljubljana, Slovenia, 26th – 30th August 2019</w:t>
      </w:r>
    </w:p>
    <w:p w14:paraId="59BEA7F0" w14:textId="77777777" w:rsidR="00654F24" w:rsidRPr="002D42A0" w:rsidRDefault="00654F24" w:rsidP="00126362">
      <w:pPr>
        <w:pStyle w:val="CRCoverPage"/>
        <w:spacing w:afterLines="50"/>
        <w:rPr>
          <w:rFonts w:eastAsia="宋体"/>
          <w:b/>
          <w:noProof/>
          <w:sz w:val="24"/>
          <w:lang w:val="en-US" w:eastAsia="zh-CN"/>
        </w:rPr>
      </w:pPr>
    </w:p>
    <w:p w14:paraId="5496C00C" w14:textId="43997073"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A42485">
        <w:rPr>
          <w:rFonts w:eastAsia="宋体"/>
          <w:b/>
          <w:noProof/>
          <w:sz w:val="24"/>
          <w:lang w:eastAsia="zh-CN"/>
        </w:rPr>
        <w:t>1</w:t>
      </w:r>
      <w:r w:rsidR="00DB24DC">
        <w:rPr>
          <w:rFonts w:eastAsia="宋体"/>
          <w:b/>
          <w:noProof/>
          <w:sz w:val="24"/>
          <w:lang w:eastAsia="zh-CN"/>
        </w:rPr>
        <w:t>.</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29DB3BB8"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5" w:name="OLE_LINK3"/>
      <w:bookmarkStart w:id="6" w:name="OLE_LINK6"/>
      <w:r w:rsidR="00A52822">
        <w:rPr>
          <w:rFonts w:eastAsia="Batang" w:hint="eastAsia"/>
          <w:b/>
          <w:noProof/>
          <w:sz w:val="24"/>
        </w:rPr>
        <w:t xml:space="preserve">:          </w:t>
      </w:r>
      <w:bookmarkStart w:id="7" w:name="OLE_LINK1"/>
      <w:r w:rsidR="00B96616" w:rsidRPr="00B96616">
        <w:rPr>
          <w:rFonts w:cs="Arial"/>
          <w:b/>
          <w:sz w:val="24"/>
          <w:szCs w:val="24"/>
        </w:rPr>
        <w:t>TP for TR 37.815: Conclusion of SI for FDD+TDD EN-DC HPUE</w:t>
      </w:r>
      <w:bookmarkEnd w:id="7"/>
      <w:r w:rsidR="00C6738B">
        <w:rPr>
          <w:rFonts w:cs="Arial"/>
          <w:b/>
          <w:sz w:val="24"/>
          <w:szCs w:val="24"/>
        </w:rPr>
        <w:t xml:space="preserve"> </w:t>
      </w:r>
    </w:p>
    <w:bookmarkEnd w:id="5"/>
    <w:bookmarkEnd w:id="6"/>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8" w:name="OLE_LINK117"/>
      <w:bookmarkStart w:id="9" w:name="OLE_LINK118"/>
    </w:p>
    <w:bookmarkEnd w:id="8"/>
    <w:bookmarkEnd w:id="9"/>
    <w:p w14:paraId="4C900200" w14:textId="3EFF7A98" w:rsidR="00E20A9A" w:rsidRDefault="00B96616" w:rsidP="00B96616">
      <w:pPr>
        <w:jc w:val="both"/>
        <w:rPr>
          <w:lang w:eastAsia="zh-CN"/>
        </w:rPr>
      </w:pPr>
      <w:r>
        <w:rPr>
          <w:lang w:eastAsia="zh-CN"/>
        </w:rPr>
        <w:t xml:space="preserve">The study item of high power UE (power class 2) for EN-DC (1 LTE FDD band + 1 NR TDD band) </w:t>
      </w:r>
      <w:r w:rsidR="0090211D">
        <w:rPr>
          <w:lang w:eastAsia="zh-CN"/>
        </w:rPr>
        <w:t xml:space="preserve">has been </w:t>
      </w:r>
      <w:r w:rsidR="0090211D">
        <w:rPr>
          <w:lang w:eastAsia="ko-KR"/>
        </w:rPr>
        <w:t>extended</w:t>
      </w:r>
      <w:r>
        <w:rPr>
          <w:lang w:eastAsia="zh-CN"/>
        </w:rPr>
        <w:t xml:space="preserve"> </w:t>
      </w:r>
      <w:r w:rsidR="0090211D">
        <w:rPr>
          <w:lang w:eastAsia="zh-CN"/>
        </w:rPr>
        <w:t>one RAN4 meeting</w:t>
      </w:r>
      <w:r w:rsidR="00B15E9D">
        <w:rPr>
          <w:lang w:eastAsia="zh-CN"/>
        </w:rPr>
        <w:t xml:space="preserve"> </w:t>
      </w:r>
      <w:r>
        <w:rPr>
          <w:lang w:eastAsia="zh-CN"/>
        </w:rPr>
        <w:t>according to the initial work plan.</w:t>
      </w:r>
      <w:r w:rsidR="00DD4628">
        <w:rPr>
          <w:lang w:eastAsia="zh-CN"/>
        </w:rPr>
        <w:t xml:space="preserve"> </w:t>
      </w:r>
      <w:r w:rsidR="00753309">
        <w:rPr>
          <w:lang w:eastAsia="zh-CN"/>
        </w:rPr>
        <w:t>I</w:t>
      </w:r>
      <w:r w:rsidR="00DD4628">
        <w:rPr>
          <w:lang w:eastAsia="zh-CN"/>
        </w:rPr>
        <w:t>t</w:t>
      </w:r>
      <w:r w:rsidR="00753309">
        <w:rPr>
          <w:lang w:eastAsia="zh-CN"/>
        </w:rPr>
        <w:t xml:space="preserve"> is supposed to</w:t>
      </w:r>
      <w:r>
        <w:rPr>
          <w:lang w:eastAsia="zh-CN"/>
        </w:rPr>
        <w:t xml:space="preserve"> </w:t>
      </w:r>
      <w:r w:rsidR="004D43F8">
        <w:rPr>
          <w:lang w:eastAsia="zh-CN"/>
        </w:rPr>
        <w:t>conclude</w:t>
      </w:r>
      <w:r w:rsidR="00B96B71" w:rsidRPr="00B96B71">
        <w:rPr>
          <w:lang w:eastAsia="zh-CN"/>
        </w:rPr>
        <w:t xml:space="preserve"> a solution to solve SAR issue in RAN4#9</w:t>
      </w:r>
      <w:r w:rsidR="00333158">
        <w:rPr>
          <w:lang w:eastAsia="zh-CN"/>
        </w:rPr>
        <w:t>2</w:t>
      </w:r>
      <w:r w:rsidR="00775F0C">
        <w:rPr>
          <w:lang w:eastAsia="zh-CN"/>
        </w:rPr>
        <w:t>.</w:t>
      </w:r>
    </w:p>
    <w:p w14:paraId="698B4664" w14:textId="6181D332" w:rsidR="00B96616" w:rsidRDefault="00B96616" w:rsidP="00B96616">
      <w:pPr>
        <w:jc w:val="both"/>
        <w:rPr>
          <w:lang w:eastAsia="zh-CN"/>
        </w:rPr>
      </w:pPr>
      <w:r>
        <w:rPr>
          <w:lang w:eastAsia="zh-CN"/>
        </w:rPr>
        <w:t xml:space="preserve">The main target of the SI is to study the feasible solution to comply with the SAR requirement for two cases in the SI scope, i.e. case 1 for 23dBm LTE + 23dBm NR and case 2 for 23dBm LTE + 26dBm NR. </w:t>
      </w:r>
    </w:p>
    <w:p w14:paraId="1F1861D7" w14:textId="77777777" w:rsidR="00B96616" w:rsidRDefault="00B96616" w:rsidP="00B96616">
      <w:pPr>
        <w:jc w:val="both"/>
        <w:rPr>
          <w:lang w:eastAsia="zh-CN"/>
        </w:rPr>
      </w:pPr>
      <w:r>
        <w:rPr>
          <w:lang w:eastAsia="zh-CN"/>
        </w:rPr>
        <w:t>Several solutions are studied and discussed in RAN4, which include:</w:t>
      </w:r>
    </w:p>
    <w:p w14:paraId="056E4415" w14:textId="63B26218" w:rsidR="00B96616" w:rsidRDefault="00B96616" w:rsidP="00B96616">
      <w:pPr>
        <w:numPr>
          <w:ilvl w:val="0"/>
          <w:numId w:val="43"/>
        </w:numPr>
        <w:jc w:val="both"/>
        <w:rPr>
          <w:lang w:eastAsia="zh-CN"/>
        </w:rPr>
      </w:pPr>
      <w:r>
        <w:rPr>
          <w:lang w:eastAsia="zh-CN"/>
        </w:rPr>
        <w:t>Reporting combined maximum duty cycle capability between LTE and NR</w:t>
      </w:r>
    </w:p>
    <w:p w14:paraId="72369E56" w14:textId="797BFDFA" w:rsidR="00B96616" w:rsidRDefault="00B96616" w:rsidP="00B96616">
      <w:pPr>
        <w:numPr>
          <w:ilvl w:val="0"/>
          <w:numId w:val="43"/>
        </w:numPr>
        <w:jc w:val="both"/>
        <w:rPr>
          <w:lang w:eastAsia="zh-CN"/>
        </w:rPr>
      </w:pPr>
      <w:r>
        <w:rPr>
          <w:lang w:eastAsia="zh-CN"/>
        </w:rPr>
        <w:t>Solving SAR issue by only reporting one overall maximum duty cycle capability</w:t>
      </w:r>
    </w:p>
    <w:p w14:paraId="346538BD" w14:textId="2874C069" w:rsidR="00B96616" w:rsidRDefault="00B96616" w:rsidP="00B96616">
      <w:pPr>
        <w:numPr>
          <w:ilvl w:val="0"/>
          <w:numId w:val="43"/>
        </w:numPr>
        <w:jc w:val="both"/>
        <w:rPr>
          <w:lang w:eastAsia="zh-CN"/>
        </w:rPr>
      </w:pPr>
      <w:r>
        <w:rPr>
          <w:lang w:eastAsia="zh-CN"/>
        </w:rPr>
        <w:t>UE centric solution can be further studied, including combining with network centric solution</w:t>
      </w:r>
    </w:p>
    <w:p w14:paraId="2A3E68ED" w14:textId="4B78B7AA" w:rsidR="00B96616" w:rsidRDefault="00B96616" w:rsidP="00B96616">
      <w:pPr>
        <w:numPr>
          <w:ilvl w:val="0"/>
          <w:numId w:val="43"/>
        </w:numPr>
        <w:jc w:val="both"/>
        <w:rPr>
          <w:lang w:eastAsia="zh-CN"/>
        </w:rPr>
      </w:pPr>
      <w:r>
        <w:rPr>
          <w:lang w:eastAsia="zh-CN"/>
        </w:rPr>
        <w:t xml:space="preserve">TDM patterns based on NR TDD configuration requested by operators as well as existing LTE TDD configurations </w:t>
      </w:r>
    </w:p>
    <w:p w14:paraId="712AC6F4" w14:textId="0EEEE8A9" w:rsidR="005D05C4" w:rsidRDefault="000F7961" w:rsidP="00B96616">
      <w:pPr>
        <w:numPr>
          <w:ilvl w:val="0"/>
          <w:numId w:val="43"/>
        </w:numPr>
        <w:jc w:val="both"/>
        <w:rPr>
          <w:lang w:eastAsia="zh-CN"/>
        </w:rPr>
      </w:pPr>
      <w:r w:rsidRPr="000F7961">
        <w:rPr>
          <w:lang w:eastAsia="zh-CN"/>
        </w:rPr>
        <w:t>Reporting</w:t>
      </w:r>
      <w:r w:rsidR="00BA1C24">
        <w:rPr>
          <w:lang w:eastAsia="zh-CN"/>
        </w:rPr>
        <w:t xml:space="preserve"> a new UE capability signalling </w:t>
      </w:r>
      <w:proofErr w:type="spellStart"/>
      <w:r w:rsidR="00BA1C24">
        <w:rPr>
          <w:lang w:val="en-US" w:eastAsia="zh-CN"/>
        </w:rPr>
        <w:t>Ratio</w:t>
      </w:r>
      <w:r w:rsidR="00460819" w:rsidRPr="00460819">
        <w:rPr>
          <w:vertAlign w:val="subscript"/>
          <w:lang w:val="en-US" w:eastAsia="zh-CN"/>
        </w:rPr>
        <w:t>SAR</w:t>
      </w:r>
      <w:proofErr w:type="spellEnd"/>
      <w:r w:rsidR="002E36E6">
        <w:rPr>
          <w:rFonts w:hint="eastAsia"/>
          <w:lang w:eastAsia="zh-CN"/>
        </w:rPr>
        <w:t>，</w:t>
      </w:r>
      <w:r w:rsidR="00460819">
        <w:rPr>
          <w:lang w:eastAsia="zh-CN"/>
        </w:rPr>
        <w:t>which is the SAR effect ratio of LTE FDD band and NR TDD band</w:t>
      </w:r>
    </w:p>
    <w:p w14:paraId="374C23C4" w14:textId="093EA976" w:rsidR="00B96616" w:rsidRDefault="000E4515" w:rsidP="00B96616">
      <w:pPr>
        <w:jc w:val="both"/>
        <w:rPr>
          <w:lang w:eastAsia="zh-CN"/>
        </w:rPr>
      </w:pPr>
      <w:r>
        <w:rPr>
          <w:rFonts w:hint="eastAsia"/>
          <w:lang w:eastAsia="zh-CN"/>
        </w:rPr>
        <w:t>A</w:t>
      </w:r>
      <w:r w:rsidR="00DA577F" w:rsidRPr="00DA577F">
        <w:rPr>
          <w:lang w:eastAsia="zh-CN"/>
        </w:rPr>
        <w:t xml:space="preserve"> way forward </w:t>
      </w:r>
      <w:r w:rsidR="00BB77DC">
        <w:rPr>
          <w:rFonts w:hint="eastAsia"/>
          <w:lang w:eastAsia="zh-CN"/>
        </w:rPr>
        <w:t>was</w:t>
      </w:r>
      <w:r w:rsidR="00E20EE0">
        <w:rPr>
          <w:lang w:eastAsia="zh-CN"/>
        </w:rPr>
        <w:t xml:space="preserve"> </w:t>
      </w:r>
      <w:r w:rsidR="00E20EE0">
        <w:rPr>
          <w:rFonts w:hint="eastAsia"/>
          <w:lang w:eastAsia="zh-CN"/>
        </w:rPr>
        <w:t>agreed</w:t>
      </w:r>
      <w:r w:rsidR="00E20EE0">
        <w:rPr>
          <w:lang w:eastAsia="zh-CN"/>
        </w:rPr>
        <w:t xml:space="preserve"> </w:t>
      </w:r>
      <w:r w:rsidR="00E20EE0">
        <w:rPr>
          <w:rFonts w:hint="eastAsia"/>
          <w:lang w:eastAsia="zh-CN"/>
        </w:rPr>
        <w:t>on</w:t>
      </w:r>
      <w:r w:rsidR="00E20EE0">
        <w:rPr>
          <w:lang w:eastAsia="zh-CN"/>
        </w:rPr>
        <w:t xml:space="preserve"> </w:t>
      </w:r>
      <w:r w:rsidR="00DA577F" w:rsidRPr="00DA577F">
        <w:rPr>
          <w:lang w:eastAsia="zh-CN"/>
        </w:rPr>
        <w:t>the relationship between the duty cycle for LTE and NR, max LTE and NR power, and the maximum UL duty cycle</w:t>
      </w:r>
      <w:r w:rsidR="00333158">
        <w:rPr>
          <w:lang w:eastAsia="zh-CN"/>
        </w:rPr>
        <w:t xml:space="preserve"> </w:t>
      </w:r>
      <w:r w:rsidR="00333158">
        <w:rPr>
          <w:rFonts w:hint="eastAsia"/>
          <w:lang w:eastAsia="zh-CN"/>
        </w:rPr>
        <w:t>in</w:t>
      </w:r>
      <w:r w:rsidR="00333158" w:rsidRPr="00333158">
        <w:rPr>
          <w:lang w:eastAsia="zh-CN"/>
        </w:rPr>
        <w:t xml:space="preserve"> </w:t>
      </w:r>
      <w:r w:rsidR="00333158" w:rsidRPr="00B96B71">
        <w:rPr>
          <w:lang w:eastAsia="zh-CN"/>
        </w:rPr>
        <w:t>RAN4#9</w:t>
      </w:r>
      <w:r w:rsidR="00333158">
        <w:rPr>
          <w:lang w:eastAsia="zh-CN"/>
        </w:rPr>
        <w:t>2</w:t>
      </w:r>
      <w:r w:rsidR="00DA577F" w:rsidRPr="00DA577F">
        <w:rPr>
          <w:lang w:eastAsia="zh-CN"/>
        </w:rPr>
        <w:t>.</w:t>
      </w:r>
      <w:r w:rsidR="00DC24DC">
        <w:rPr>
          <w:lang w:eastAsia="zh-CN"/>
        </w:rPr>
        <w:t xml:space="preserve"> </w:t>
      </w:r>
      <w:r w:rsidR="00862D42">
        <w:rPr>
          <w:rFonts w:hint="eastAsia"/>
          <w:lang w:eastAsia="zh-CN"/>
        </w:rPr>
        <w:t>Base</w:t>
      </w:r>
      <w:r w:rsidR="00862D42">
        <w:rPr>
          <w:lang w:eastAsia="zh-CN"/>
        </w:rPr>
        <w:t xml:space="preserve"> </w:t>
      </w:r>
      <w:r w:rsidR="00862D42">
        <w:rPr>
          <w:rFonts w:hint="eastAsia"/>
          <w:lang w:eastAsia="zh-CN"/>
        </w:rPr>
        <w:t>on</w:t>
      </w:r>
      <w:r w:rsidR="00862D42">
        <w:rPr>
          <w:lang w:eastAsia="zh-CN"/>
        </w:rPr>
        <w:t xml:space="preserve"> </w:t>
      </w:r>
      <w:r w:rsidR="00862D42">
        <w:rPr>
          <w:rFonts w:hint="eastAsia"/>
          <w:lang w:eastAsia="zh-CN"/>
        </w:rPr>
        <w:t>this</w:t>
      </w:r>
      <w:r w:rsidR="00862D42">
        <w:rPr>
          <w:lang w:eastAsia="zh-CN"/>
        </w:rPr>
        <w:t xml:space="preserve"> </w:t>
      </w:r>
      <w:r w:rsidR="00DC24DC">
        <w:rPr>
          <w:rFonts w:hint="eastAsia"/>
          <w:lang w:eastAsia="zh-CN"/>
        </w:rPr>
        <w:t>relationship</w:t>
      </w:r>
      <w:r w:rsidR="00B96616">
        <w:rPr>
          <w:lang w:eastAsia="zh-CN"/>
        </w:rPr>
        <w:t xml:space="preserve">, the group prefers to define a maximum duty cycle capability in Rel-16. With this capability, network can help to guarantee the UE not exceeding the SAR limits at the UE maximum output power. The specific </w:t>
      </w:r>
      <w:r w:rsidR="00DC0F5C">
        <w:rPr>
          <w:lang w:eastAsia="zh-CN"/>
        </w:rPr>
        <w:t>signalling</w:t>
      </w:r>
      <w:r w:rsidR="00B96616">
        <w:rPr>
          <w:lang w:eastAsia="zh-CN"/>
        </w:rPr>
        <w:t xml:space="preserve"> design</w:t>
      </w:r>
      <w:r w:rsidR="008579A4">
        <w:rPr>
          <w:lang w:eastAsia="zh-CN"/>
        </w:rPr>
        <w:t xml:space="preserve"> </w:t>
      </w:r>
      <w:r w:rsidR="008579A4">
        <w:rPr>
          <w:rFonts w:hint="eastAsia"/>
          <w:lang w:eastAsia="zh-CN"/>
        </w:rPr>
        <w:t>and</w:t>
      </w:r>
      <w:r w:rsidR="008579A4">
        <w:rPr>
          <w:lang w:eastAsia="zh-CN"/>
        </w:rPr>
        <w:t xml:space="preserve"> </w:t>
      </w:r>
      <w:r w:rsidR="008579A4">
        <w:rPr>
          <w:rFonts w:hint="eastAsia"/>
          <w:lang w:eastAsia="zh-CN"/>
        </w:rPr>
        <w:t>the</w:t>
      </w:r>
      <w:r w:rsidR="008579A4">
        <w:rPr>
          <w:lang w:eastAsia="zh-CN"/>
        </w:rPr>
        <w:t xml:space="preserve"> </w:t>
      </w:r>
      <w:r w:rsidR="009649FB">
        <w:rPr>
          <w:rFonts w:hint="eastAsia"/>
          <w:lang w:eastAsia="zh-CN"/>
        </w:rPr>
        <w:t>v</w:t>
      </w:r>
      <w:r w:rsidR="008579A4">
        <w:rPr>
          <w:rFonts w:hint="eastAsia"/>
          <w:lang w:eastAsia="zh-CN"/>
        </w:rPr>
        <w:t>alue</w:t>
      </w:r>
      <w:r w:rsidR="008579A4">
        <w:rPr>
          <w:lang w:eastAsia="zh-CN"/>
        </w:rPr>
        <w:t xml:space="preserve"> </w:t>
      </w:r>
      <w:r w:rsidR="008579A4">
        <w:rPr>
          <w:rFonts w:hint="eastAsia"/>
          <w:lang w:eastAsia="zh-CN"/>
        </w:rPr>
        <w:t>range</w:t>
      </w:r>
      <w:r w:rsidR="00B96616">
        <w:rPr>
          <w:lang w:eastAsia="zh-CN"/>
        </w:rPr>
        <w:t xml:space="preserve"> can be further considered during the WI stage. Meanwhile, the UE based solution should also be considered as the reported maximum duty cycle capability cannot always be guaranteed by the network scheduling. A combined UE based, and network based solution to better improve the UL performance is suggested in the SI study, which should be reflected in the specification afterwards once the work item is established.</w:t>
      </w:r>
    </w:p>
    <w:p w14:paraId="7F04DD9B" w14:textId="1A561F13" w:rsidR="00B96616" w:rsidRDefault="00B96616" w:rsidP="00B96616">
      <w:pPr>
        <w:jc w:val="both"/>
        <w:rPr>
          <w:lang w:eastAsia="zh-CN"/>
        </w:rPr>
      </w:pPr>
      <w:r>
        <w:rPr>
          <w:lang w:eastAsia="zh-CN"/>
        </w:rPr>
        <w:t xml:space="preserve">Required changes in TS 38.101-3 were also analysed during the SI study, the identified requirements shall be specified for specific FDD+TDD EN-DC band combinations in the following WI. </w:t>
      </w:r>
    </w:p>
    <w:p w14:paraId="6DA1D38C" w14:textId="78B6877B" w:rsidR="00B96616" w:rsidRDefault="00B96616" w:rsidP="00B96616">
      <w:pPr>
        <w:jc w:val="both"/>
        <w:rPr>
          <w:lang w:eastAsia="zh-CN"/>
        </w:rPr>
      </w:pPr>
      <w:r>
        <w:rPr>
          <w:lang w:eastAsia="zh-CN"/>
        </w:rPr>
        <w:t>In the SI study, only one band combination, i.e. DC_3_n78 is proposed as an example combination to facilitate the study. Once the SI is finished, a WI will be proposed to standardize the SAR solution as well the specifying requirements for proposed band combinations. It is expected that more band combinations will be proposed in the WI stage, thus it is proposed to treat the FDD+TDD EN-DC HPUE as a basket WI.</w:t>
      </w:r>
    </w:p>
    <w:p w14:paraId="6C3EE0B6" w14:textId="1F672AE2" w:rsidR="00FC6659" w:rsidRDefault="00FC6659" w:rsidP="00FC6659">
      <w:pPr>
        <w:pStyle w:val="1"/>
        <w:numPr>
          <w:ilvl w:val="0"/>
          <w:numId w:val="2"/>
        </w:numPr>
      </w:pPr>
      <w:bookmarkStart w:id="10" w:name="_Toc344119484"/>
      <w:r>
        <w:rPr>
          <w:rFonts w:hint="eastAsia"/>
          <w:lang w:eastAsia="zh-CN"/>
        </w:rPr>
        <w:t>References</w:t>
      </w:r>
      <w:bookmarkEnd w:id="10"/>
    </w:p>
    <w:p w14:paraId="2C4B13B2" w14:textId="270C8CDB" w:rsid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[1]</w:t>
      </w:r>
      <w:r w:rsidR="00F07254" w:rsidRPr="00F07254">
        <w:t xml:space="preserve"> </w:t>
      </w:r>
      <w:r w:rsidR="00F07254" w:rsidRPr="00F07254">
        <w:rPr>
          <w:rFonts w:ascii="Arial" w:hAnsi="Arial" w:cs="Arial"/>
          <w:bCs/>
          <w:sz w:val="18"/>
          <w:lang w:eastAsia="ja-JP"/>
        </w:rPr>
        <w:t>R4-1907488,</w:t>
      </w:r>
      <w:r w:rsidR="00F07254">
        <w:rPr>
          <w:rFonts w:ascii="Arial" w:hAnsi="Arial" w:cs="Arial"/>
          <w:bCs/>
          <w:sz w:val="18"/>
          <w:lang w:eastAsia="ja-JP"/>
        </w:rPr>
        <w:t xml:space="preserve"> </w:t>
      </w:r>
      <w:r w:rsidR="00F07254" w:rsidRPr="00F07254">
        <w:rPr>
          <w:rFonts w:ascii="Arial" w:hAnsi="Arial" w:cs="Arial"/>
          <w:bCs/>
          <w:sz w:val="18"/>
          <w:lang w:eastAsia="ja-JP"/>
        </w:rPr>
        <w:t>WF on NSA FDD-TDD HPUE”, CHTTL, China Unicom, OPPO, RAN4#91</w:t>
      </w:r>
    </w:p>
    <w:p w14:paraId="61A0998D" w14:textId="4081590F" w:rsidR="00154F56" w:rsidRPr="00F07254" w:rsidRDefault="00154F56" w:rsidP="00A825B4">
      <w:pPr>
        <w:pStyle w:val="ae"/>
        <w:jc w:val="both"/>
        <w:rPr>
          <w:rFonts w:ascii="Arial" w:eastAsia="Yu Mincho" w:hAnsi="Arial" w:cs="Arial"/>
          <w:bCs/>
          <w:sz w:val="18"/>
          <w:lang w:eastAsia="ja-JP"/>
        </w:rPr>
      </w:pPr>
      <w:r w:rsidRPr="00A825B4">
        <w:rPr>
          <w:rFonts w:ascii="Arial" w:hAnsi="Arial" w:cs="Arial"/>
          <w:bCs/>
          <w:sz w:val="18"/>
          <w:lang w:eastAsia="ja-JP"/>
        </w:rPr>
        <w:t>[</w:t>
      </w:r>
      <w:r w:rsidR="00F07254">
        <w:rPr>
          <w:rFonts w:ascii="Arial" w:hAnsi="Arial" w:cs="Arial"/>
          <w:bCs/>
          <w:sz w:val="18"/>
          <w:lang w:eastAsia="ja-JP"/>
        </w:rPr>
        <w:t>2</w:t>
      </w:r>
      <w:r w:rsidRPr="00A825B4">
        <w:rPr>
          <w:rFonts w:ascii="Arial" w:hAnsi="Arial" w:cs="Arial"/>
          <w:bCs/>
          <w:sz w:val="18"/>
          <w:lang w:eastAsia="ja-JP"/>
        </w:rPr>
        <w:t>] R4-1902452, WF on PC2 FDD TDD HPUE, CHTTL</w:t>
      </w:r>
    </w:p>
    <w:p w14:paraId="573F4D0F" w14:textId="37C7877B" w:rsidR="00A825B4" w:rsidRP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w:t>
      </w:r>
      <w:r w:rsidR="00F07254">
        <w:rPr>
          <w:rFonts w:ascii="Arial" w:hAnsi="Arial" w:cs="Arial"/>
          <w:bCs/>
          <w:sz w:val="18"/>
          <w:lang w:eastAsia="ja-JP"/>
        </w:rPr>
        <w:t>3</w:t>
      </w:r>
      <w:r w:rsidRPr="00A825B4">
        <w:rPr>
          <w:rFonts w:ascii="Arial" w:hAnsi="Arial" w:cs="Arial"/>
          <w:bCs/>
          <w:sz w:val="18"/>
          <w:lang w:eastAsia="ja-JP"/>
        </w:rPr>
        <w:t>] R4-1905004, WF for EN-DC FDD-TDD High Power UE, CHTTL, China Unicom, SGS Wireless</w:t>
      </w:r>
    </w:p>
    <w:p w14:paraId="51367F52" w14:textId="6A0F950D" w:rsid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w:t>
      </w:r>
      <w:r w:rsidR="00F07254">
        <w:rPr>
          <w:rFonts w:ascii="Arial" w:hAnsi="Arial" w:cs="Arial"/>
          <w:bCs/>
          <w:sz w:val="18"/>
          <w:lang w:eastAsia="ja-JP"/>
        </w:rPr>
        <w:t>4</w:t>
      </w:r>
      <w:r w:rsidRPr="00A825B4">
        <w:rPr>
          <w:rFonts w:ascii="Arial" w:hAnsi="Arial" w:cs="Arial"/>
          <w:bCs/>
          <w:sz w:val="18"/>
          <w:lang w:eastAsia="ja-JP"/>
        </w:rPr>
        <w:t>] R4-1903145, TP for TR37.815: Required changes in TS 38.101-3, ZTE</w:t>
      </w:r>
    </w:p>
    <w:p w14:paraId="46FF7B05" w14:textId="77777777" w:rsidR="00A825B4" w:rsidRDefault="00A825B4" w:rsidP="00A825B4">
      <w:pPr>
        <w:pStyle w:val="1"/>
        <w:numPr>
          <w:ilvl w:val="0"/>
          <w:numId w:val="0"/>
        </w:numPr>
        <w:tabs>
          <w:tab w:val="left" w:pos="420"/>
        </w:tabs>
      </w:pPr>
      <w:r>
        <w:lastRenderedPageBreak/>
        <w:t>Text Proposal</w:t>
      </w:r>
    </w:p>
    <w:p w14:paraId="521F5C96" w14:textId="67B841EB" w:rsidR="00A825B4" w:rsidRDefault="00A825B4" w:rsidP="00A825B4">
      <w:pPr>
        <w:rPr>
          <w:rFonts w:ascii="Arial" w:hAnsi="Arial" w:cs="Arial"/>
          <w:b/>
          <w:noProof/>
          <w:snapToGrid w:val="0"/>
          <w:color w:val="FF0000"/>
          <w:sz w:val="22"/>
        </w:rPr>
      </w:pPr>
      <w:r>
        <w:rPr>
          <w:rFonts w:ascii="Arial" w:hAnsi="Arial" w:cs="Arial"/>
          <w:b/>
          <w:noProof/>
          <w:snapToGrid w:val="0"/>
          <w:color w:val="FF0000"/>
          <w:sz w:val="22"/>
        </w:rPr>
        <w:t>&lt;Start of TP&gt;</w:t>
      </w:r>
    </w:p>
    <w:p w14:paraId="6A359B21" w14:textId="77777777" w:rsidR="00A825B4" w:rsidRPr="00CB02E4" w:rsidRDefault="00A825B4" w:rsidP="00A825B4">
      <w:pPr>
        <w:pStyle w:val="1"/>
        <w:numPr>
          <w:ilvl w:val="0"/>
          <w:numId w:val="0"/>
        </w:numPr>
        <w:rPr>
          <w:ins w:id="11" w:author="WEI WANG" w:date="2019-05-02T21:49:00Z"/>
        </w:rPr>
      </w:pPr>
      <w:bookmarkStart w:id="12" w:name="_Toc536103161"/>
      <w:bookmarkStart w:id="13" w:name="_Toc1137571"/>
      <w:ins w:id="14" w:author="WEI WANG" w:date="2019-05-02T21:49:00Z">
        <w:r>
          <w:t>9</w:t>
        </w:r>
        <w:r w:rsidRPr="00CB02E4">
          <w:tab/>
        </w:r>
        <w:bookmarkEnd w:id="12"/>
        <w:bookmarkEnd w:id="13"/>
        <w:r>
          <w:t>Summary of the SI</w:t>
        </w:r>
      </w:ins>
    </w:p>
    <w:p w14:paraId="258D204D" w14:textId="77777777" w:rsidR="00A825B4" w:rsidRDefault="00A825B4" w:rsidP="00A825B4">
      <w:pPr>
        <w:rPr>
          <w:ins w:id="15" w:author="WEI WANG" w:date="2019-05-02T21:49:00Z"/>
        </w:rPr>
      </w:pPr>
      <w:ins w:id="16" w:author="WEI WANG" w:date="2019-05-02T21:49:00Z">
        <w:r>
          <w:t xml:space="preserve">The main target of the SI is to study the feasible solution to comply with the SAR requirement for two cases in the SI scope, i.e. case 1 for 23dBm LTE + 23dBm NR and case 2 for 23dBm LTE + 26dBm NR. </w:t>
        </w:r>
      </w:ins>
    </w:p>
    <w:p w14:paraId="321CDF3F" w14:textId="77777777" w:rsidR="00A825B4" w:rsidRDefault="00A825B4" w:rsidP="00A825B4">
      <w:pPr>
        <w:rPr>
          <w:ins w:id="17" w:author="WEI WANG" w:date="2019-05-02T21:49:00Z"/>
        </w:rPr>
      </w:pPr>
      <w:ins w:id="18" w:author="WEI WANG" w:date="2019-05-02T21:49:00Z">
        <w:r>
          <w:t>Several solutions are studied and discussed in RAN4, which include:</w:t>
        </w:r>
      </w:ins>
    </w:p>
    <w:p w14:paraId="18AD5359" w14:textId="77777777" w:rsidR="00A825B4" w:rsidRPr="00932761" w:rsidRDefault="00A825B4" w:rsidP="00A825B4">
      <w:pPr>
        <w:numPr>
          <w:ilvl w:val="0"/>
          <w:numId w:val="47"/>
        </w:numPr>
        <w:rPr>
          <w:ins w:id="19" w:author="WEI WANG" w:date="2019-05-02T21:49:00Z"/>
          <w:lang w:val="en-US"/>
        </w:rPr>
      </w:pPr>
      <w:ins w:id="20" w:author="WEI WANG" w:date="2019-05-02T21:49:00Z">
        <w:r w:rsidRPr="00932761">
          <w:rPr>
            <w:lang w:val="en-US"/>
          </w:rPr>
          <w:t>Reporting combined maximum duty cycle capability between LTE and NR</w:t>
        </w:r>
      </w:ins>
    </w:p>
    <w:p w14:paraId="4C63408B" w14:textId="77777777" w:rsidR="00A825B4" w:rsidRPr="00932761" w:rsidRDefault="00A825B4" w:rsidP="00A825B4">
      <w:pPr>
        <w:numPr>
          <w:ilvl w:val="0"/>
          <w:numId w:val="47"/>
        </w:numPr>
        <w:rPr>
          <w:ins w:id="21" w:author="WEI WANG" w:date="2019-05-02T21:49:00Z"/>
          <w:lang w:val="en-US"/>
        </w:rPr>
      </w:pPr>
      <w:ins w:id="22" w:author="WEI WANG" w:date="2019-05-02T21:49:00Z">
        <w:r w:rsidRPr="00932761">
          <w:rPr>
            <w:lang w:val="en-US"/>
          </w:rPr>
          <w:t>Solving SAR issue by only reporting one overall maximum duty cycle capability</w:t>
        </w:r>
      </w:ins>
    </w:p>
    <w:p w14:paraId="16AFEBB7" w14:textId="77777777" w:rsidR="00A825B4" w:rsidRPr="00932761" w:rsidRDefault="00A825B4" w:rsidP="00A825B4">
      <w:pPr>
        <w:numPr>
          <w:ilvl w:val="0"/>
          <w:numId w:val="47"/>
        </w:numPr>
        <w:rPr>
          <w:ins w:id="23" w:author="WEI WANG" w:date="2019-05-02T21:49:00Z"/>
          <w:lang w:val="en-US"/>
        </w:rPr>
      </w:pPr>
      <w:ins w:id="24" w:author="WEI WANG" w:date="2019-05-02T21:49:00Z">
        <w:r w:rsidRPr="00932761">
          <w:rPr>
            <w:lang w:val="en-US"/>
          </w:rPr>
          <w:t>UE centric solution can be further studied, including combining with network centric solution</w:t>
        </w:r>
      </w:ins>
    </w:p>
    <w:p w14:paraId="75F28F70" w14:textId="10590B00" w:rsidR="00A825B4" w:rsidRDefault="00A825B4" w:rsidP="00A825B4">
      <w:pPr>
        <w:numPr>
          <w:ilvl w:val="0"/>
          <w:numId w:val="47"/>
        </w:numPr>
        <w:rPr>
          <w:ins w:id="25" w:author="WEI WANG" w:date="2019-08-16T11:38:00Z"/>
          <w:lang w:val="en-US"/>
        </w:rPr>
      </w:pPr>
      <w:ins w:id="26" w:author="WEI WANG" w:date="2019-05-02T21:49:00Z">
        <w:r w:rsidRPr="00932761">
          <w:rPr>
            <w:lang w:val="en-US"/>
          </w:rPr>
          <w:t xml:space="preserve">TDM patterns based on NR TDD configuration requested by operators as well as existing LTE TDD configurations </w:t>
        </w:r>
      </w:ins>
    </w:p>
    <w:p w14:paraId="1C70204D" w14:textId="77777777" w:rsidR="00C57F2A" w:rsidRDefault="00C57F2A" w:rsidP="00C57F2A">
      <w:pPr>
        <w:numPr>
          <w:ilvl w:val="0"/>
          <w:numId w:val="47"/>
        </w:numPr>
        <w:jc w:val="both"/>
        <w:rPr>
          <w:ins w:id="27" w:author="WEI WANG" w:date="2019-08-16T11:38:00Z"/>
          <w:lang w:eastAsia="zh-CN"/>
        </w:rPr>
      </w:pPr>
      <w:ins w:id="28" w:author="WEI WANG" w:date="2019-08-16T11:38:00Z">
        <w:r w:rsidRPr="000F7961">
          <w:rPr>
            <w:lang w:eastAsia="zh-CN"/>
          </w:rPr>
          <w:t>Reporting</w:t>
        </w:r>
        <w:r>
          <w:rPr>
            <w:lang w:eastAsia="zh-CN"/>
          </w:rPr>
          <w:t xml:space="preserve"> a new UE capability signalling </w:t>
        </w:r>
        <w:proofErr w:type="spellStart"/>
        <w:r>
          <w:rPr>
            <w:lang w:val="en-US" w:eastAsia="zh-CN"/>
          </w:rPr>
          <w:t>Ratio</w:t>
        </w:r>
        <w:r w:rsidRPr="00460819">
          <w:rPr>
            <w:vertAlign w:val="subscript"/>
            <w:lang w:val="en-US" w:eastAsia="zh-CN"/>
          </w:rPr>
          <w:t>SAR</w:t>
        </w:r>
        <w:proofErr w:type="spellEnd"/>
        <w:r>
          <w:rPr>
            <w:rFonts w:hint="eastAsia"/>
            <w:lang w:eastAsia="zh-CN"/>
          </w:rPr>
          <w:t>，</w:t>
        </w:r>
        <w:r>
          <w:rPr>
            <w:lang w:eastAsia="zh-CN"/>
          </w:rPr>
          <w:t>which is the SAR effect ratio of LTE FDD band and NR TDD band</w:t>
        </w:r>
      </w:ins>
    </w:p>
    <w:p w14:paraId="4CB6E5FC" w14:textId="1E5D734B" w:rsidR="00DC0F5C" w:rsidRDefault="00C57F2A" w:rsidP="00A825B4">
      <w:pPr>
        <w:rPr>
          <w:ins w:id="29" w:author="WEI WANG" w:date="2019-08-16T11:39:00Z"/>
          <w:lang w:val="en-US"/>
        </w:rPr>
      </w:pPr>
      <w:ins w:id="30" w:author="WEI WANG" w:date="2019-08-16T11:39:00Z">
        <w:r w:rsidRPr="00C57F2A">
          <w:rPr>
            <w:lang w:val="en-US"/>
          </w:rPr>
          <w:t xml:space="preserve">A way forward was agreed on the relationship between the duty cycle for LTE and NR, max LTE and NR power, and the maximum UL duty cycle in RAN4#92. Base on this relationship, the group prefers to define a maximum duty cycle capability in Rel-16. With this capability, network can help to guarantee the UE not exceeding the SAR limits at the UE maximum output power. The specific </w:t>
        </w:r>
        <w:r w:rsidR="00DC0F5C" w:rsidRPr="00C57F2A">
          <w:rPr>
            <w:lang w:val="en-US"/>
          </w:rPr>
          <w:t>signaling</w:t>
        </w:r>
        <w:r w:rsidRPr="00C57F2A">
          <w:rPr>
            <w:lang w:val="en-US"/>
          </w:rPr>
          <w:t xml:space="preserve"> design and the value range can be further considered during the WI stage. Meanwhile, the UE based solution should also be considered as the reported maximum duty cycle capability cannot always be guaranteed by the network scheduling. A combined UE based, and </w:t>
        </w:r>
        <w:proofErr w:type="gramStart"/>
        <w:r w:rsidRPr="00C57F2A">
          <w:rPr>
            <w:lang w:val="en-US"/>
          </w:rPr>
          <w:t>network based</w:t>
        </w:r>
        <w:proofErr w:type="gramEnd"/>
        <w:r w:rsidRPr="00C57F2A">
          <w:rPr>
            <w:lang w:val="en-US"/>
          </w:rPr>
          <w:t xml:space="preserve"> solution to better improve the UL performance is suggested in the SI study, which should be reflected in the specification afterwards once the work item is established.</w:t>
        </w:r>
      </w:ins>
    </w:p>
    <w:p w14:paraId="3F431C55" w14:textId="75B570D7" w:rsidR="00A825B4" w:rsidRPr="00932761" w:rsidRDefault="00A825B4" w:rsidP="00A825B4">
      <w:pPr>
        <w:rPr>
          <w:ins w:id="31" w:author="WEI WANG" w:date="2019-05-02T21:49:00Z"/>
          <w:lang w:val="en-US"/>
        </w:rPr>
      </w:pPr>
      <w:ins w:id="32" w:author="WEI WANG" w:date="2019-05-02T21:49:00Z">
        <w:r w:rsidRPr="00435371">
          <w:rPr>
            <w:lang w:val="en-US"/>
          </w:rPr>
          <w:t>Required changes in TS 38.101-3</w:t>
        </w:r>
        <w:r>
          <w:rPr>
            <w:lang w:val="en-US"/>
          </w:rPr>
          <w:t xml:space="preserve"> were also analyzed during the SI study, the identified requirements shall be specified for specific FDD+TDD EN-DC band combinations in the following WI. </w:t>
        </w:r>
      </w:ins>
    </w:p>
    <w:p w14:paraId="0CA2CAD0" w14:textId="77777777" w:rsidR="00A825B4" w:rsidRPr="00014E13" w:rsidRDefault="00A825B4" w:rsidP="00A825B4">
      <w:pPr>
        <w:rPr>
          <w:ins w:id="33" w:author="WEI WANG" w:date="2019-05-02T21:49:00Z"/>
          <w:lang w:val="en-US"/>
        </w:rPr>
      </w:pPr>
      <w:ins w:id="34" w:author="WEI WANG" w:date="2019-05-02T21:49:00Z">
        <w:r>
          <w:rPr>
            <w:lang w:val="en-US"/>
          </w:rPr>
          <w:t>In the SI study, only one band combination, i.e. DC_3_n78 is proposed as an example combination to facilitate the study. Once the SI is finished, a WI will be proposed to standardize the SAR solution as well specifying requirements for proposed band combinations. It is expected that more band combinations will be proposed in the WI stage, thus it is proposed to treat the FDD+TDD EN-DC HPUE as a basket WI.</w:t>
        </w:r>
      </w:ins>
    </w:p>
    <w:p w14:paraId="22C5CFA1" w14:textId="77777777" w:rsidR="00A825B4" w:rsidRDefault="00A825B4" w:rsidP="00A825B4">
      <w:pPr>
        <w:rPr>
          <w:rFonts w:ascii="Arial" w:hAnsi="Arial" w:cs="Arial"/>
          <w:noProof/>
          <w:snapToGrid w:val="0"/>
          <w:color w:val="FF0000"/>
          <w:sz w:val="22"/>
        </w:rPr>
      </w:pPr>
    </w:p>
    <w:p w14:paraId="334BEDA2" w14:textId="77777777" w:rsidR="00A825B4" w:rsidRDefault="00A825B4" w:rsidP="00A825B4">
      <w:pPr>
        <w:rPr>
          <w:rFonts w:ascii="Arial" w:hAnsi="Arial" w:cs="Arial"/>
          <w:noProof/>
          <w:snapToGrid w:val="0"/>
          <w:color w:val="FF0000"/>
          <w:sz w:val="22"/>
        </w:rPr>
      </w:pPr>
      <w:r>
        <w:rPr>
          <w:rFonts w:ascii="Arial" w:hAnsi="Arial" w:cs="Arial"/>
          <w:b/>
          <w:noProof/>
          <w:snapToGrid w:val="0"/>
          <w:color w:val="FF0000"/>
          <w:sz w:val="22"/>
        </w:rPr>
        <w:t>&lt;End of TP&gt;</w:t>
      </w:r>
    </w:p>
    <w:p w14:paraId="48571C16" w14:textId="50DD5F9E" w:rsidR="00A825B4" w:rsidRDefault="00A825B4" w:rsidP="00A825B4">
      <w:pPr>
        <w:pStyle w:val="ae"/>
        <w:jc w:val="both"/>
        <w:rPr>
          <w:rFonts w:ascii="Arial" w:eastAsia="Yu Mincho" w:hAnsi="Arial" w:cs="Arial"/>
          <w:bCs/>
          <w:sz w:val="18"/>
          <w:lang w:eastAsia="ja-JP"/>
        </w:rPr>
      </w:pPr>
    </w:p>
    <w:sectPr w:rsidR="00A825B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BD62" w14:textId="77777777" w:rsidR="00756874" w:rsidRDefault="00756874">
      <w:r>
        <w:separator/>
      </w:r>
    </w:p>
  </w:endnote>
  <w:endnote w:type="continuationSeparator" w:id="0">
    <w:p w14:paraId="1391CA99" w14:textId="77777777" w:rsidR="00756874" w:rsidRDefault="00756874">
      <w:r>
        <w:continuationSeparator/>
      </w:r>
    </w:p>
  </w:endnote>
  <w:endnote w:type="continuationNotice" w:id="1">
    <w:p w14:paraId="75D0D002" w14:textId="77777777" w:rsidR="00756874" w:rsidRDefault="0075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6CC8E" w14:textId="77777777" w:rsidR="00756874" w:rsidRDefault="00756874">
      <w:r>
        <w:separator/>
      </w:r>
    </w:p>
  </w:footnote>
  <w:footnote w:type="continuationSeparator" w:id="0">
    <w:p w14:paraId="01773754" w14:textId="77777777" w:rsidR="00756874" w:rsidRDefault="00756874">
      <w:r>
        <w:continuationSeparator/>
      </w:r>
    </w:p>
  </w:footnote>
  <w:footnote w:type="continuationNotice" w:id="1">
    <w:p w14:paraId="69E5F97E" w14:textId="77777777" w:rsidR="00756874" w:rsidRDefault="00756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034C7"/>
    <w:multiLevelType w:val="hybridMultilevel"/>
    <w:tmpl w:val="F030F0D2"/>
    <w:lvl w:ilvl="0" w:tplc="5994126E">
      <w:start w:val="1"/>
      <w:numFmt w:val="bullet"/>
      <w:lvlText w:val="•"/>
      <w:lvlJc w:val="left"/>
      <w:pPr>
        <w:tabs>
          <w:tab w:val="num" w:pos="720"/>
        </w:tabs>
        <w:ind w:left="720" w:hanging="360"/>
      </w:pPr>
      <w:rPr>
        <w:rFonts w:ascii="Arial" w:hAnsi="Arial" w:cs="Times New Roman" w:hint="default"/>
      </w:rPr>
    </w:lvl>
    <w:lvl w:ilvl="1" w:tplc="6A6AD4E4">
      <w:start w:val="1"/>
      <w:numFmt w:val="bullet"/>
      <w:lvlText w:val="•"/>
      <w:lvlJc w:val="left"/>
      <w:pPr>
        <w:tabs>
          <w:tab w:val="num" w:pos="1440"/>
        </w:tabs>
        <w:ind w:left="1440" w:hanging="360"/>
      </w:pPr>
      <w:rPr>
        <w:rFonts w:ascii="Arial" w:hAnsi="Arial" w:cs="Times New Roman" w:hint="default"/>
      </w:rPr>
    </w:lvl>
    <w:lvl w:ilvl="2" w:tplc="DF660340">
      <w:start w:val="1"/>
      <w:numFmt w:val="bullet"/>
      <w:lvlText w:val="•"/>
      <w:lvlJc w:val="left"/>
      <w:pPr>
        <w:tabs>
          <w:tab w:val="num" w:pos="2160"/>
        </w:tabs>
        <w:ind w:left="2160" w:hanging="360"/>
      </w:pPr>
      <w:rPr>
        <w:rFonts w:ascii="Arial" w:hAnsi="Arial" w:cs="Times New Roman" w:hint="default"/>
      </w:rPr>
    </w:lvl>
    <w:lvl w:ilvl="3" w:tplc="019AAF5E">
      <w:start w:val="1"/>
      <w:numFmt w:val="bullet"/>
      <w:lvlText w:val="•"/>
      <w:lvlJc w:val="left"/>
      <w:pPr>
        <w:tabs>
          <w:tab w:val="num" w:pos="2880"/>
        </w:tabs>
        <w:ind w:left="2880" w:hanging="360"/>
      </w:pPr>
      <w:rPr>
        <w:rFonts w:ascii="Arial" w:hAnsi="Arial" w:cs="Times New Roman" w:hint="default"/>
      </w:rPr>
    </w:lvl>
    <w:lvl w:ilvl="4" w:tplc="42EA82C2">
      <w:start w:val="1"/>
      <w:numFmt w:val="bullet"/>
      <w:lvlText w:val="•"/>
      <w:lvlJc w:val="left"/>
      <w:pPr>
        <w:tabs>
          <w:tab w:val="num" w:pos="3600"/>
        </w:tabs>
        <w:ind w:left="3600" w:hanging="360"/>
      </w:pPr>
      <w:rPr>
        <w:rFonts w:ascii="Arial" w:hAnsi="Arial" w:cs="Times New Roman" w:hint="default"/>
      </w:rPr>
    </w:lvl>
    <w:lvl w:ilvl="5" w:tplc="AF920ECC">
      <w:start w:val="1"/>
      <w:numFmt w:val="bullet"/>
      <w:lvlText w:val="•"/>
      <w:lvlJc w:val="left"/>
      <w:pPr>
        <w:tabs>
          <w:tab w:val="num" w:pos="4320"/>
        </w:tabs>
        <w:ind w:left="4320" w:hanging="360"/>
      </w:pPr>
      <w:rPr>
        <w:rFonts w:ascii="Arial" w:hAnsi="Arial" w:cs="Times New Roman" w:hint="default"/>
      </w:rPr>
    </w:lvl>
    <w:lvl w:ilvl="6" w:tplc="EED04BF0">
      <w:start w:val="1"/>
      <w:numFmt w:val="bullet"/>
      <w:lvlText w:val="•"/>
      <w:lvlJc w:val="left"/>
      <w:pPr>
        <w:tabs>
          <w:tab w:val="num" w:pos="5040"/>
        </w:tabs>
        <w:ind w:left="5040" w:hanging="360"/>
      </w:pPr>
      <w:rPr>
        <w:rFonts w:ascii="Arial" w:hAnsi="Arial" w:cs="Times New Roman" w:hint="default"/>
      </w:rPr>
    </w:lvl>
    <w:lvl w:ilvl="7" w:tplc="AFF6E7DC">
      <w:start w:val="1"/>
      <w:numFmt w:val="bullet"/>
      <w:lvlText w:val="•"/>
      <w:lvlJc w:val="left"/>
      <w:pPr>
        <w:tabs>
          <w:tab w:val="num" w:pos="5760"/>
        </w:tabs>
        <w:ind w:left="5760" w:hanging="360"/>
      </w:pPr>
      <w:rPr>
        <w:rFonts w:ascii="Arial" w:hAnsi="Arial" w:cs="Times New Roman" w:hint="default"/>
      </w:rPr>
    </w:lvl>
    <w:lvl w:ilvl="8" w:tplc="A4ACCB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40"/>
  </w:num>
  <w:num w:numId="5">
    <w:abstractNumId w:val="6"/>
  </w:num>
  <w:num w:numId="6">
    <w:abstractNumId w:val="1"/>
  </w:num>
  <w:num w:numId="7">
    <w:abstractNumId w:val="0"/>
  </w:num>
  <w:num w:numId="8">
    <w:abstractNumId w:val="21"/>
  </w:num>
  <w:num w:numId="9">
    <w:abstractNumId w:val="10"/>
  </w:num>
  <w:num w:numId="10">
    <w:abstractNumId w:val="25"/>
  </w:num>
  <w:num w:numId="11">
    <w:abstractNumId w:val="36"/>
  </w:num>
  <w:num w:numId="12">
    <w:abstractNumId w:val="17"/>
  </w:num>
  <w:num w:numId="13">
    <w:abstractNumId w:val="1"/>
  </w:num>
  <w:num w:numId="14">
    <w:abstractNumId w:val="12"/>
  </w:num>
  <w:num w:numId="15">
    <w:abstractNumId w:val="33"/>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2"/>
  </w:num>
  <w:num w:numId="23">
    <w:abstractNumId w:val="38"/>
  </w:num>
  <w:num w:numId="24">
    <w:abstractNumId w:val="39"/>
  </w:num>
  <w:num w:numId="25">
    <w:abstractNumId w:val="11"/>
  </w:num>
  <w:num w:numId="26">
    <w:abstractNumId w:val="23"/>
  </w:num>
  <w:num w:numId="27">
    <w:abstractNumId w:val="37"/>
  </w:num>
  <w:num w:numId="28">
    <w:abstractNumId w:val="3"/>
  </w:num>
  <w:num w:numId="29">
    <w:abstractNumId w:val="16"/>
  </w:num>
  <w:num w:numId="30">
    <w:abstractNumId w:val="31"/>
  </w:num>
  <w:num w:numId="31">
    <w:abstractNumId w:val="14"/>
  </w:num>
  <w:num w:numId="32">
    <w:abstractNumId w:val="29"/>
  </w:num>
  <w:num w:numId="33">
    <w:abstractNumId w:val="13"/>
  </w:num>
  <w:num w:numId="34">
    <w:abstractNumId w:val="26"/>
  </w:num>
  <w:num w:numId="35">
    <w:abstractNumId w:val="35"/>
  </w:num>
  <w:num w:numId="36">
    <w:abstractNumId w:val="34"/>
  </w:num>
  <w:num w:numId="37">
    <w:abstractNumId w:val="7"/>
  </w:num>
  <w:num w:numId="38">
    <w:abstractNumId w:val="18"/>
  </w:num>
  <w:num w:numId="39">
    <w:abstractNumId w:val="9"/>
  </w:num>
  <w:num w:numId="40">
    <w:abstractNumId w:val="30"/>
  </w:num>
  <w:num w:numId="41">
    <w:abstractNumId w:val="24"/>
  </w:num>
  <w:num w:numId="42">
    <w:abstractNumId w:val="19"/>
  </w:num>
  <w:num w:numId="43">
    <w:abstractNumId w:val="22"/>
  </w:num>
  <w:num w:numId="44">
    <w:abstractNumId w:val="20"/>
  </w:num>
  <w:num w:numId="45">
    <w:abstractNumId w:val="4"/>
  </w:num>
  <w:num w:numId="46">
    <w:abstractNumId w:val="28"/>
  </w:num>
  <w:num w:numId="47">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WANG">
    <w15:presenceInfo w15:providerId="Windows Live" w15:userId="d0432ad4c4293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D78CB"/>
    <w:rsid w:val="000E00E0"/>
    <w:rsid w:val="000E12D7"/>
    <w:rsid w:val="000E14B3"/>
    <w:rsid w:val="000E1540"/>
    <w:rsid w:val="000E2E86"/>
    <w:rsid w:val="000E2FF5"/>
    <w:rsid w:val="000E4515"/>
    <w:rsid w:val="000E4D6B"/>
    <w:rsid w:val="000E6E66"/>
    <w:rsid w:val="000E6FC7"/>
    <w:rsid w:val="000E790F"/>
    <w:rsid w:val="000F060C"/>
    <w:rsid w:val="000F0978"/>
    <w:rsid w:val="000F1617"/>
    <w:rsid w:val="000F202F"/>
    <w:rsid w:val="000F263E"/>
    <w:rsid w:val="000F5299"/>
    <w:rsid w:val="000F5EB4"/>
    <w:rsid w:val="000F6551"/>
    <w:rsid w:val="000F796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4F56"/>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0E2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E95"/>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1A18"/>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6E6"/>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158"/>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1F1A"/>
    <w:rsid w:val="003621FF"/>
    <w:rsid w:val="0036231D"/>
    <w:rsid w:val="00363ECF"/>
    <w:rsid w:val="00364866"/>
    <w:rsid w:val="0036524A"/>
    <w:rsid w:val="0036694F"/>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170EE"/>
    <w:rsid w:val="0042029A"/>
    <w:rsid w:val="00420304"/>
    <w:rsid w:val="00421349"/>
    <w:rsid w:val="004214CE"/>
    <w:rsid w:val="00421AA2"/>
    <w:rsid w:val="0042214B"/>
    <w:rsid w:val="004229C2"/>
    <w:rsid w:val="00423B13"/>
    <w:rsid w:val="004248FD"/>
    <w:rsid w:val="00424E64"/>
    <w:rsid w:val="00427260"/>
    <w:rsid w:val="00427552"/>
    <w:rsid w:val="004276CB"/>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57C31"/>
    <w:rsid w:val="00460819"/>
    <w:rsid w:val="00460AFD"/>
    <w:rsid w:val="00461B85"/>
    <w:rsid w:val="0046284C"/>
    <w:rsid w:val="004634BB"/>
    <w:rsid w:val="00465373"/>
    <w:rsid w:val="00465488"/>
    <w:rsid w:val="00467C51"/>
    <w:rsid w:val="00467E8E"/>
    <w:rsid w:val="0047106E"/>
    <w:rsid w:val="00472501"/>
    <w:rsid w:val="00473107"/>
    <w:rsid w:val="004739D3"/>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10F"/>
    <w:rsid w:val="004D0DA5"/>
    <w:rsid w:val="004D0F3E"/>
    <w:rsid w:val="004D1ADB"/>
    <w:rsid w:val="004D21D6"/>
    <w:rsid w:val="004D2876"/>
    <w:rsid w:val="004D3D57"/>
    <w:rsid w:val="004D4114"/>
    <w:rsid w:val="004D43F8"/>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2C2"/>
    <w:rsid w:val="00510491"/>
    <w:rsid w:val="0051107C"/>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336F"/>
    <w:rsid w:val="00584725"/>
    <w:rsid w:val="00585595"/>
    <w:rsid w:val="005855E7"/>
    <w:rsid w:val="00585747"/>
    <w:rsid w:val="005875A5"/>
    <w:rsid w:val="00587795"/>
    <w:rsid w:val="005877CF"/>
    <w:rsid w:val="00590CE3"/>
    <w:rsid w:val="00590FEC"/>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039A"/>
    <w:rsid w:val="005C1028"/>
    <w:rsid w:val="005C1C1C"/>
    <w:rsid w:val="005C3608"/>
    <w:rsid w:val="005C4598"/>
    <w:rsid w:val="005C511F"/>
    <w:rsid w:val="005C5472"/>
    <w:rsid w:val="005C56FE"/>
    <w:rsid w:val="005C7292"/>
    <w:rsid w:val="005C7E13"/>
    <w:rsid w:val="005D05C4"/>
    <w:rsid w:val="005D0C7E"/>
    <w:rsid w:val="005D1C3F"/>
    <w:rsid w:val="005D1D5B"/>
    <w:rsid w:val="005D2053"/>
    <w:rsid w:val="005D2280"/>
    <w:rsid w:val="005D4069"/>
    <w:rsid w:val="005D4668"/>
    <w:rsid w:val="005D4FE8"/>
    <w:rsid w:val="005D670E"/>
    <w:rsid w:val="005D6740"/>
    <w:rsid w:val="005D693E"/>
    <w:rsid w:val="005D6CBF"/>
    <w:rsid w:val="005E00F3"/>
    <w:rsid w:val="005E0F24"/>
    <w:rsid w:val="005E2190"/>
    <w:rsid w:val="005E313E"/>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2FBF"/>
    <w:rsid w:val="00643E80"/>
    <w:rsid w:val="00644C9C"/>
    <w:rsid w:val="006454B9"/>
    <w:rsid w:val="00647601"/>
    <w:rsid w:val="006512DF"/>
    <w:rsid w:val="006527A9"/>
    <w:rsid w:val="006543F2"/>
    <w:rsid w:val="00654F24"/>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C65"/>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998"/>
    <w:rsid w:val="006D35EF"/>
    <w:rsid w:val="006D3CF6"/>
    <w:rsid w:val="006D3D65"/>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09"/>
    <w:rsid w:val="00753331"/>
    <w:rsid w:val="00753AD8"/>
    <w:rsid w:val="00754963"/>
    <w:rsid w:val="0075549D"/>
    <w:rsid w:val="0075553E"/>
    <w:rsid w:val="0075581E"/>
    <w:rsid w:val="00755D2B"/>
    <w:rsid w:val="00756874"/>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0C"/>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9A4"/>
    <w:rsid w:val="00857F3D"/>
    <w:rsid w:val="00860488"/>
    <w:rsid w:val="0086069E"/>
    <w:rsid w:val="00862D42"/>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473"/>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11D"/>
    <w:rsid w:val="00902379"/>
    <w:rsid w:val="009023B7"/>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B79"/>
    <w:rsid w:val="00926031"/>
    <w:rsid w:val="0092718C"/>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34FD"/>
    <w:rsid w:val="00963AB4"/>
    <w:rsid w:val="009649ED"/>
    <w:rsid w:val="009649FB"/>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4C78"/>
    <w:rsid w:val="009955A0"/>
    <w:rsid w:val="009975EB"/>
    <w:rsid w:val="009A1E2C"/>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2485"/>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5B4"/>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665D"/>
    <w:rsid w:val="00AA6809"/>
    <w:rsid w:val="00AA69A7"/>
    <w:rsid w:val="00AA773D"/>
    <w:rsid w:val="00AB0BF0"/>
    <w:rsid w:val="00AB1FB8"/>
    <w:rsid w:val="00AB24C0"/>
    <w:rsid w:val="00AB352D"/>
    <w:rsid w:val="00AB3DA8"/>
    <w:rsid w:val="00AB417F"/>
    <w:rsid w:val="00AB4846"/>
    <w:rsid w:val="00AB6243"/>
    <w:rsid w:val="00AB688C"/>
    <w:rsid w:val="00AC02E3"/>
    <w:rsid w:val="00AC06F9"/>
    <w:rsid w:val="00AC10E0"/>
    <w:rsid w:val="00AC13D9"/>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5E9D"/>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51"/>
    <w:rsid w:val="00B379CE"/>
    <w:rsid w:val="00B37F9D"/>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6616"/>
    <w:rsid w:val="00B96B71"/>
    <w:rsid w:val="00B97690"/>
    <w:rsid w:val="00B97900"/>
    <w:rsid w:val="00B97A80"/>
    <w:rsid w:val="00B97D1B"/>
    <w:rsid w:val="00BA184E"/>
    <w:rsid w:val="00BA1C24"/>
    <w:rsid w:val="00BA21C5"/>
    <w:rsid w:val="00BA248B"/>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B77DC"/>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7"/>
    <w:rsid w:val="00BF503C"/>
    <w:rsid w:val="00BF54FB"/>
    <w:rsid w:val="00BF5B7E"/>
    <w:rsid w:val="00BF67F4"/>
    <w:rsid w:val="00C00049"/>
    <w:rsid w:val="00C00577"/>
    <w:rsid w:val="00C01200"/>
    <w:rsid w:val="00C01D76"/>
    <w:rsid w:val="00C023B9"/>
    <w:rsid w:val="00C0334F"/>
    <w:rsid w:val="00C043E6"/>
    <w:rsid w:val="00C05318"/>
    <w:rsid w:val="00C05E4E"/>
    <w:rsid w:val="00C07167"/>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19A2"/>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4FAC"/>
    <w:rsid w:val="00C567A2"/>
    <w:rsid w:val="00C57791"/>
    <w:rsid w:val="00C57F2A"/>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063"/>
    <w:rsid w:val="00CD421A"/>
    <w:rsid w:val="00CD47D8"/>
    <w:rsid w:val="00CD4ADB"/>
    <w:rsid w:val="00CD4B1D"/>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E98"/>
    <w:rsid w:val="00D20287"/>
    <w:rsid w:val="00D210BC"/>
    <w:rsid w:val="00D215FD"/>
    <w:rsid w:val="00D21895"/>
    <w:rsid w:val="00D23ADE"/>
    <w:rsid w:val="00D2457C"/>
    <w:rsid w:val="00D24B29"/>
    <w:rsid w:val="00D25E94"/>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3A2"/>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1514"/>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577F"/>
    <w:rsid w:val="00DA6EEB"/>
    <w:rsid w:val="00DA73E0"/>
    <w:rsid w:val="00DB0071"/>
    <w:rsid w:val="00DB0723"/>
    <w:rsid w:val="00DB0D84"/>
    <w:rsid w:val="00DB13DD"/>
    <w:rsid w:val="00DB1B3D"/>
    <w:rsid w:val="00DB23CF"/>
    <w:rsid w:val="00DB24DC"/>
    <w:rsid w:val="00DB33D0"/>
    <w:rsid w:val="00DB38D1"/>
    <w:rsid w:val="00DB76DB"/>
    <w:rsid w:val="00DB76EF"/>
    <w:rsid w:val="00DC0F5C"/>
    <w:rsid w:val="00DC15A8"/>
    <w:rsid w:val="00DC24DC"/>
    <w:rsid w:val="00DC3B0A"/>
    <w:rsid w:val="00DC416E"/>
    <w:rsid w:val="00DC44C6"/>
    <w:rsid w:val="00DC5001"/>
    <w:rsid w:val="00DC5E15"/>
    <w:rsid w:val="00DC6030"/>
    <w:rsid w:val="00DC61E6"/>
    <w:rsid w:val="00DC68C1"/>
    <w:rsid w:val="00DC7100"/>
    <w:rsid w:val="00DD03F5"/>
    <w:rsid w:val="00DD0C06"/>
    <w:rsid w:val="00DD17EB"/>
    <w:rsid w:val="00DD2F64"/>
    <w:rsid w:val="00DD4628"/>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A9A"/>
    <w:rsid w:val="00E20D41"/>
    <w:rsid w:val="00E20EE0"/>
    <w:rsid w:val="00E21907"/>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42D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158"/>
    <w:rsid w:val="00F0329F"/>
    <w:rsid w:val="00F03A58"/>
    <w:rsid w:val="00F03E66"/>
    <w:rsid w:val="00F03FB1"/>
    <w:rsid w:val="00F044FF"/>
    <w:rsid w:val="00F049B5"/>
    <w:rsid w:val="00F05A14"/>
    <w:rsid w:val="00F05E01"/>
    <w:rsid w:val="00F05EEB"/>
    <w:rsid w:val="00F07254"/>
    <w:rsid w:val="00F102DB"/>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3CBF"/>
    <w:rsid w:val="00FA472D"/>
    <w:rsid w:val="00FA4ACB"/>
    <w:rsid w:val="00FA53E7"/>
    <w:rsid w:val="00FA5C7C"/>
    <w:rsid w:val="00FA6366"/>
    <w:rsid w:val="00FA6D30"/>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5E61"/>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 w:type="paragraph" w:styleId="af6">
    <w:name w:val="Revision"/>
    <w:hidden/>
    <w:uiPriority w:val="99"/>
    <w:semiHidden/>
    <w:rsid w:val="00A825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040086889">
      <w:bodyDiv w:val="1"/>
      <w:marLeft w:val="0"/>
      <w:marRight w:val="0"/>
      <w:marTop w:val="0"/>
      <w:marBottom w:val="0"/>
      <w:divBdr>
        <w:top w:val="none" w:sz="0" w:space="0" w:color="auto"/>
        <w:left w:val="none" w:sz="0" w:space="0" w:color="auto"/>
        <w:bottom w:val="none" w:sz="0" w:space="0" w:color="auto"/>
        <w:right w:val="none" w:sz="0" w:space="0" w:color="auto"/>
      </w:divBdr>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B9069-29B7-4CD0-8334-8120E8D7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48</cp:revision>
  <dcterms:created xsi:type="dcterms:W3CDTF">2019-05-02T13:29:00Z</dcterms:created>
  <dcterms:modified xsi:type="dcterms:W3CDTF">2019-08-16T09:36:00Z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